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Lines="50" w:afterLines="50" w:line="320" w:lineRule="exact"/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附件一：</w:t>
      </w:r>
      <w:r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 w:cs="仿宋_GB2312" w:hAnsiTheme="minorHAnsi"/>
          <w:b/>
          <w:bCs/>
          <w:kern w:val="2"/>
          <w:sz w:val="40"/>
          <w:szCs w:val="40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eastAsia="仿宋_GB2312" w:cs="仿宋_GB2312"/>
          <w:b/>
          <w:bCs/>
          <w:kern w:val="2"/>
          <w:sz w:val="40"/>
          <w:szCs w:val="40"/>
          <w:lang w:val="en-US" w:eastAsia="zh-CN" w:bidi="ar"/>
        </w:rPr>
        <w:t>财务综合实力</w:t>
      </w:r>
      <w:r>
        <w:rPr>
          <w:rFonts w:hint="eastAsia" w:ascii="仿宋_GB2312" w:eastAsia="仿宋_GB2312" w:cs="仿宋_GB2312" w:hAnsiTheme="minorHAnsi"/>
          <w:b/>
          <w:bCs/>
          <w:kern w:val="2"/>
          <w:sz w:val="40"/>
          <w:szCs w:val="40"/>
          <w:lang w:val="en-US" w:eastAsia="zh-CN" w:bidi="ar"/>
        </w:rPr>
        <w:t>评分细则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803" w:firstLineChars="200"/>
        <w:jc w:val="both"/>
        <w:textAlignment w:val="auto"/>
        <w:outlineLvl w:val="9"/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2"/>
          <w:sz w:val="40"/>
          <w:szCs w:val="40"/>
          <w:lang w:val="en-US" w:eastAsia="zh-CN" w:bidi="ar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 按照以下公式计算各法人主体的财务综合实力得分，满分13分。计算公式：财务综合实力得分=净资产得分*净资产权重（60%）+资产负债率得分*资产负债率权重（40%），计算各法人主体的得分分值（保留小数点一位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b/>
          <w:bCs/>
          <w:color w:val="auto"/>
          <w:kern w:val="2"/>
          <w:sz w:val="32"/>
          <w:szCs w:val="32"/>
          <w:lang w:val="en-US" w:eastAsia="zh-CN" w:bidi="ar"/>
        </w:rPr>
        <w:t>1、企业净资产得分</w:t>
      </w:r>
      <w:r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  <w:t>：满分13分，按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2017</w:t>
      </w:r>
      <w:r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  <w:t>年末企业净资产，从大到小排名，第一名得满分13分，第二名得12分，名次每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下降</w:t>
      </w:r>
      <w:r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  <w:t>一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名分数减一分，净资产相同时得分相同，以此类推计算各单位得分。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 w:firstLine="42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仿宋_GB2312" w:eastAsia="仿宋_GB2312" w:cs="仿宋_GB2312" w:hAnsiTheme="minorHAnsi"/>
          <w:b/>
          <w:bCs/>
          <w:kern w:val="2"/>
          <w:sz w:val="32"/>
          <w:szCs w:val="32"/>
          <w:lang w:val="en-US" w:eastAsia="zh-CN" w:bidi="ar"/>
        </w:rPr>
        <w:t>2、资产负债率得分：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满分13分，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资产负债率=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instrText xml:space="preserve"> HYPERLINK "https://baike.baidu.com/item/%E8%B4%9F%E5%80%BA%E6%80%BB%E9%A2%9D" \t "https://baike.baidu.com/item/%E8%B5%84%E4%BA%A7%E8%B4%9F%E5%80%BA%E7%8E%87/_blank" </w:instrTex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负债总额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/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instrText xml:space="preserve"> HYPERLINK "https://baike.baidu.com/item/%E8%B5%84%E4%BA%A7%E6%80%BB%E9%A2%9D" \t "https://baike.baidu.com/item/%E8%B5%84%E4%BA%A7%E8%B4%9F%E5%80%BA%E7%8E%87/_blank" </w:instrTex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资产总额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×100%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，按2017年企业资产负债表中的数值计算得出，从小到大排名，第一名得满分13分，第二名得12分，名次每下降一名分数减一分，负债率相同时得分相同，以此类推计算各单位得分。  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注：原则上以2017年审计报告为准；如尚未完成17年度审计报告的，允许提供2016年度审计报告。均以审计报告中釆集数据为准。要求提供原件及复印件，复印件加盖法人单位公章及法人章，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未提供或者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未按要求提供的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不得分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5341C"/>
    <w:rsid w:val="1BC53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2018-02-02T08:30:00Z</dcterms:created>
  <dc:creator>Administrator</dc:creator>
  <cp:lastModifiedBy>Administrator</cp:lastModifiedBy>
  <dcterms:modified xsi:type="dcterms:W3CDTF">2018-02-02T08:31:17Z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